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4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none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昆明城市污水处理运营有限责任公司</w:t>
      </w:r>
    </w:p>
    <w:p w14:paraId="5A491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</w:rPr>
        <w:t>202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</w:rPr>
        <w:t>年昆明主城、环湖各厂危险废物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委托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</w:rPr>
        <w:t>处置服务单位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选聘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</w:rPr>
        <w:t>项目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二次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）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流标公示</w:t>
      </w:r>
    </w:p>
    <w:p w14:paraId="69CB6A5A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 w14:paraId="633D4443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</w:p>
    <w:p w14:paraId="26D354FA">
      <w:pPr>
        <w:adjustRightInd w:val="0"/>
        <w:snapToGrid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安全与环境保护管理部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2026年昆明主城、环湖各厂危险废物委托处置服务单位选聘项目（二次）”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截止至2026年2月14日，仅有1家投标人参与报名，投标人数不足三家，本项目作流标处理。</w:t>
      </w:r>
    </w:p>
    <w:p w14:paraId="0F1E0B1D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605880E0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</w:p>
    <w:p w14:paraId="4EF1576B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地址：昆明市官渡区官南大道2288号第二水质净化厂</w:t>
      </w:r>
    </w:p>
    <w:p w14:paraId="4810B693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吕娅萍</w:t>
      </w:r>
    </w:p>
    <w:p w14:paraId="47F2AFA3">
      <w:pPr>
        <w:wordWrap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13529230482</w:t>
      </w:r>
    </w:p>
    <w:p w14:paraId="079116AE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CB4712"/>
    <w:rsid w:val="2BC7090F"/>
    <w:rsid w:val="2BD46504"/>
    <w:rsid w:val="2BD575BF"/>
    <w:rsid w:val="2F2E6FE6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43092E"/>
    <w:rsid w:val="4BE066CA"/>
    <w:rsid w:val="4BEF1B80"/>
    <w:rsid w:val="4C6B24D1"/>
    <w:rsid w:val="4D302F75"/>
    <w:rsid w:val="4ECD5070"/>
    <w:rsid w:val="5060304C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37E3BD8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4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5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5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dd6ff780-c262-43e8-a3d6-17ba7a710b26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26D354FA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d5c68b-872d-4eb1-b486-d559bbaa0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257</Characters>
  <Lines>7</Lines>
  <Paragraphs>8</Paragraphs>
  <TotalTime>17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sunell</cp:lastModifiedBy>
  <dcterms:modified xsi:type="dcterms:W3CDTF">2026-02-24T06:02:06Z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57E154872F9A4E2098FAFC542D81D4C9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